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99" w:rsidRDefault="00B66C99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150C85" w:rsidRDefault="00150C85" w:rsidP="00150C85">
      <w:pPr>
        <w:framePr w:w="9221" w:h="13765" w:hRule="exact" w:wrap="none" w:vAnchor="page" w:hAnchor="page" w:x="1679" w:y="905"/>
        <w:rPr>
          <w:rFonts w:ascii="Times New Roman" w:eastAsia="Courier New" w:hAnsi="Times New Roman" w:cs="Times New Roman"/>
        </w:rPr>
      </w:pPr>
      <w: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№4 </w:t>
      </w:r>
    </w:p>
    <w:p w:rsidR="00150C85" w:rsidRDefault="00150C85" w:rsidP="00150C85">
      <w:pPr>
        <w:framePr w:w="9221" w:h="13765" w:hRule="exact" w:wrap="none" w:vAnchor="page" w:hAnchor="page" w:x="1679" w:y="905"/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  <w:t xml:space="preserve">к распоряжению Главы Рощинского </w:t>
      </w:r>
    </w:p>
    <w:p w:rsidR="00150C85" w:rsidRDefault="00150C85" w:rsidP="00150C85">
      <w:pPr>
        <w:framePr w:w="9221" w:h="13765" w:hRule="exact" w:wrap="none" w:vAnchor="page" w:hAnchor="page" w:x="1679" w:y="9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сельского поселения </w:t>
      </w:r>
    </w:p>
    <w:p w:rsidR="00150C85" w:rsidRDefault="00150C85" w:rsidP="00150C85">
      <w:pPr>
        <w:framePr w:w="9221" w:h="13765" w:hRule="exact" w:wrap="none" w:vAnchor="page" w:hAnchor="page" w:x="1679" w:y="905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                                                                </w:t>
      </w:r>
      <w:r w:rsidR="0042141A">
        <w:rPr>
          <w:rFonts w:ascii="Times New Roman" w:eastAsia="Times New Roman" w:hAnsi="Times New Roman" w:cs="Times New Roman"/>
          <w:color w:val="auto"/>
          <w:lang w:bidi="ar-SA"/>
        </w:rPr>
        <w:t>№67 от 22.08.2022</w:t>
      </w:r>
      <w:r>
        <w:rPr>
          <w:rFonts w:ascii="Times New Roman" w:eastAsia="Times New Roman" w:hAnsi="Times New Roman" w:cs="Times New Roman"/>
          <w:color w:val="auto"/>
          <w:lang w:bidi="ar-SA"/>
        </w:rPr>
        <w:t>г.</w:t>
      </w: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  <w:r>
        <w:rPr>
          <w:color w:val="000000"/>
        </w:rPr>
        <w:t>ПОРЯДОК</w:t>
      </w: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  <w:r>
        <w:rPr>
          <w:color w:val="000000"/>
        </w:rPr>
        <w:t>Ликвидации аварийных ситуаций в системах теплоснабжения на территории деревни Казанцево Сосновского муниципального района</w:t>
      </w: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</w:pP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64" w:lineRule="exact"/>
        <w:ind w:firstLine="740"/>
        <w:jc w:val="both"/>
      </w:pPr>
      <w:r>
        <w:rPr>
          <w:color w:val="000000"/>
        </w:rPr>
        <w:t>Задачей персонала Общества с ограниченной ответственностью «Тепловые электрические сети и системы» (далее -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») при возникновении технологического нарушения (повреждения) в тепловой сети является возможно быстрое обнаружение повреждения и ограничение его распространения (локализация), срочный ремонт или замена вышедших из строя трубопроводов и оборудования, восстановление в кратчайший срок нормального теплоснабжения потребителей тепловой энергии.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shd w:val="clear" w:color="auto" w:fill="auto"/>
        <w:spacing w:before="0" w:line="264" w:lineRule="exact"/>
        <w:ind w:firstLine="740"/>
        <w:jc w:val="both"/>
      </w:pPr>
      <w:r>
        <w:rPr>
          <w:color w:val="000000"/>
        </w:rPr>
        <w:t>В случаях, когда для устранения повреждения трубопроводов или оборудования требуется продолжительное время, персонал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должен использовать резервные аварийные перемычки, чтобы продолжительность перерыва в подаче тепловой энергии потребителям была минимальной.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64" w:lineRule="exact"/>
        <w:ind w:firstLine="740"/>
        <w:jc w:val="both"/>
      </w:pPr>
      <w:r>
        <w:rPr>
          <w:color w:val="000000"/>
        </w:rPr>
        <w:t>Для выполнения работ по ликвидации аварий и крупных повреждений на трубопроводах и оборудовании в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 создана служба технического обслуживания и ремонта тепловых сетей (далее -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). В оперативном отношении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подчиняется оперативно-диспетчерской службе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(далее - ОДС), а в административном - заместителю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Начальник службы по техническому обслуживанию и ремонту тепловых сетей отвечает за правильную и безопасную организацию работ персонала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, за сроки выполнения и качество работ. В состав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включаются слесари, </w:t>
      </w:r>
      <w:proofErr w:type="spellStart"/>
      <w:r>
        <w:rPr>
          <w:color w:val="000000"/>
        </w:rPr>
        <w:t>газоэлектросварщики</w:t>
      </w:r>
      <w:proofErr w:type="spellEnd"/>
      <w:r>
        <w:rPr>
          <w:color w:val="000000"/>
        </w:rPr>
        <w:t>, экскаваторщики, шоферы аварийных и оперативных машин.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Персонал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и закрепленные за ней машины для ликвидации повреждений находятся в постоянной круглосуточной готовности. Дежурство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организуется круглосуточно, посменно.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При приемке и сдаче смен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проверяется наличие и исправность инструмента, оборудования, механизмов и машин согласно утвержденному табелю.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При возникновении аварий и крупных повреждений персонал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одного участка может привлекаться для их ликвидации на другие участки по распоряжению ОДС.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Привлечение персонала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к работам, не связанным с ликвидацией аварий и крупных повреждений, производится только по указанию руководства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через ОДС.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64" w:lineRule="exact"/>
        <w:ind w:firstLine="740"/>
        <w:jc w:val="both"/>
      </w:pPr>
      <w:r>
        <w:rPr>
          <w:color w:val="000000"/>
        </w:rPr>
        <w:t>В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разработана инструкция по эксплуатации тепловых сетей, утвержденная заместителем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», с четко разработанным оперативным планом действий при технологическом нарушении (аварии, повреждении) на любой </w:t>
      </w:r>
      <w:proofErr w:type="spellStart"/>
      <w:r>
        <w:rPr>
          <w:color w:val="000000"/>
        </w:rPr>
        <w:t>тепломагистрали</w:t>
      </w:r>
      <w:proofErr w:type="spellEnd"/>
      <w:r>
        <w:rPr>
          <w:color w:val="000000"/>
        </w:rPr>
        <w:t xml:space="preserve"> применительно к местным условиям и коммуникациям сети, предусматривающая порядок отключения магистралей, ответвлений от них и сетей потребителей, возможные переключения для подачи тепловой энергии потребителям от других магистралей.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64" w:lineRule="exact"/>
        <w:ind w:firstLine="740"/>
        <w:jc w:val="both"/>
      </w:pPr>
      <w:r>
        <w:rPr>
          <w:color w:val="000000"/>
        </w:rPr>
        <w:t>Определены длительность отключения отдельных зданий и участков сети в зависимости от температуры наружного воздуха без спуска воды и условия, при которых требуется опорожнение системы отопления. К расчету приложен график очередности отключений и наполнений участков тепловой сети и отопительных систем при разработанных вариантах аварийных режимов.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64" w:lineRule="exact"/>
        <w:ind w:firstLine="740"/>
        <w:jc w:val="both"/>
      </w:pPr>
      <w:r>
        <w:rPr>
          <w:color w:val="000000"/>
        </w:rPr>
        <w:t>Разработана схема изменения работы теплофикационного оборудования источника тепловой энергии в аварийных ситуациях.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Для каждого секционного участка </w:t>
      </w:r>
      <w:proofErr w:type="spellStart"/>
      <w:r>
        <w:rPr>
          <w:color w:val="000000"/>
        </w:rPr>
        <w:t>тепломагистралей</w:t>
      </w:r>
      <w:proofErr w:type="spellEnd"/>
      <w:r>
        <w:rPr>
          <w:color w:val="000000"/>
        </w:rPr>
        <w:t xml:space="preserve"> проверена плотность отключающей арматуры и установлена возможность спуска из него воды, а также фактическая скорость его опорожнения и наполнения.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64" w:lineRule="exact"/>
        <w:ind w:firstLine="740"/>
        <w:jc w:val="both"/>
      </w:pPr>
      <w:r>
        <w:rPr>
          <w:color w:val="000000"/>
        </w:rPr>
        <w:t>Все рабочие места оперативного персонала ООО «</w:t>
      </w:r>
      <w:proofErr w:type="spellStart"/>
      <w:r>
        <w:rPr>
          <w:color w:val="000000"/>
        </w:rPr>
        <w:t>ТЭСйС</w:t>
      </w:r>
      <w:proofErr w:type="spellEnd"/>
      <w:r>
        <w:rPr>
          <w:color w:val="000000"/>
        </w:rPr>
        <w:t>» обеспечены инструкциями по ликвидации технологических нарушений, которые определяют порядок действий дежурного персонала при технологических нарушениях.</w:t>
      </w:r>
    </w:p>
    <w:p w:rsidR="00383D06" w:rsidRDefault="00383D06" w:rsidP="00383D06">
      <w:pPr>
        <w:widowControl/>
        <w:rPr>
          <w:sz w:val="2"/>
          <w:szCs w:val="2"/>
        </w:rPr>
        <w:sectPr w:rsidR="00383D06">
          <w:pgSz w:w="11900" w:h="16840"/>
          <w:pgMar w:top="360" w:right="360" w:bottom="360" w:left="360" w:header="0" w:footer="3" w:gutter="0"/>
          <w:cols w:space="720"/>
        </w:sectPr>
      </w:pP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264" w:lineRule="exact"/>
        <w:ind w:firstLine="740"/>
        <w:jc w:val="both"/>
      </w:pPr>
      <w:r>
        <w:rPr>
          <w:color w:val="000000"/>
        </w:rPr>
        <w:lastRenderedPageBreak/>
        <w:t xml:space="preserve">С персоналом ОДС и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регулярно, не реже одного раза в квартал, проводятся тренировки с отработкой четкости, последовательности и быстроты выполнения противоаварийных операций.</w:t>
      </w: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086"/>
        </w:tabs>
        <w:spacing w:before="0" w:line="264" w:lineRule="exact"/>
        <w:ind w:firstLine="740"/>
        <w:jc w:val="both"/>
      </w:pPr>
      <w:r>
        <w:rPr>
          <w:color w:val="000000"/>
        </w:rPr>
        <w:t>Ликвидация технологических нарушений в тепловых сетях производится под руководством дежурного диспетчера или начальника участка в зависимости от способа оперативного управления поврежденным оборудованием. Дежурный диспетчер несет полную ответственность за ликвидацию аварийного положения, принимая решения и осуществляя мероприятия по восстановлению нормального режима, в том числе и в случае нахождения на диспетчерском пункте лиц руководящего административно-технического персонала.</w:t>
      </w: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Находящиеся на диспетчерском пункте лицо руководящего </w:t>
      </w:r>
      <w:proofErr w:type="spellStart"/>
      <w:r>
        <w:rPr>
          <w:color w:val="000000"/>
        </w:rPr>
        <w:t>административно</w:t>
      </w:r>
      <w:r>
        <w:rPr>
          <w:color w:val="000000"/>
        </w:rPr>
        <w:softHyphen/>
        <w:t>технического</w:t>
      </w:r>
      <w:proofErr w:type="spellEnd"/>
      <w:r>
        <w:rPr>
          <w:color w:val="000000"/>
        </w:rPr>
        <w:t xml:space="preserve"> персонала имеет право взять руководство ликвидации технологического нарушения на себя или поручить руководство другому лицу, если считает действия диспетчера неправильными. Передача руководства ликвидацией технологического нарушения должна быть оформлена в оперативном журнале.</w:t>
      </w: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Распоряжения дежурного диспетчера по вопросам, входящим в его компетенцию, должны выполняться немедленно и безоговорочно, за исключением распоряжений, угрожающих безопасности людей и сохранности оборудования. Ответственность за необоснованную задержку выполнения распоряжения диспетчера несут лица, не выполнившие распоряжение. Указания начальника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и других служб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по вопросам, входящим в компетенцию дежурного диспетчера выполняются дежурным персоналом только по согласованию с ОДС.</w:t>
      </w: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64" w:lineRule="exact"/>
        <w:ind w:firstLine="740"/>
        <w:jc w:val="both"/>
      </w:pPr>
      <w:r>
        <w:rPr>
          <w:color w:val="000000"/>
        </w:rPr>
        <w:t>Во время ликвидации технологического нарушения на диспетчерском пункте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имеют право находиться лишь лица, непосредственно участвующие в ликвидации технологического нарушения, и лица руководящего административно- технического персонала. Список таких лиц утвержден генеральным директором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widowControl/>
        <w:rPr>
          <w:sz w:val="2"/>
          <w:szCs w:val="2"/>
        </w:rPr>
        <w:sectPr w:rsidR="00383D06">
          <w:pgSz w:w="11900" w:h="16840"/>
          <w:pgMar w:top="360" w:right="360" w:bottom="360" w:left="360" w:header="0" w:footer="3" w:gutter="0"/>
          <w:cols w:space="720"/>
        </w:sectPr>
      </w:pPr>
      <w:bookmarkStart w:id="0" w:name="_GoBack"/>
      <w:bookmarkEnd w:id="0"/>
    </w:p>
    <w:p w:rsidR="00383D06" w:rsidRDefault="00383D06" w:rsidP="00383D06">
      <w:pPr>
        <w:pStyle w:val="30"/>
        <w:framePr w:w="9211" w:h="14110" w:hRule="exact" w:wrap="none" w:vAnchor="page" w:hAnchor="page" w:x="1636" w:y="853"/>
        <w:shd w:val="clear" w:color="auto" w:fill="auto"/>
        <w:spacing w:after="188" w:line="274" w:lineRule="exact"/>
        <w:ind w:left="2380"/>
        <w:jc w:val="left"/>
      </w:pPr>
      <w:r>
        <w:rPr>
          <w:color w:val="000000"/>
        </w:rPr>
        <w:lastRenderedPageBreak/>
        <w:t>Мероприятия по обнаружению и предотвращению развития технологических нарушений (повреждений) в тепловой сети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Наиболее характерным признаком возникновения технологического нарушения (далее повреждения) в тепловой сети является понижение давления в трубопроводах, </w:t>
      </w:r>
      <w:r>
        <w:rPr>
          <w:rStyle w:val="2MSReferenceSansSerif"/>
        </w:rPr>
        <w:t xml:space="preserve">для </w:t>
      </w:r>
      <w:r>
        <w:rPr>
          <w:color w:val="000000"/>
        </w:rPr>
        <w:t>поддержания которого требуется многократное увеличение подпитки (в 3-4 раза и более нормативной).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>При увеличении подпитки тепловой сети сверх нормы дежурный диспетчер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на время определения места утечки обязан обеспечить нормальный гидравлический режим. В крайнем случае, во избежание опорожнения систем теплопотребления, он должен с разрешения заместителя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 дать указание о подпитке сети технической </w:t>
      </w:r>
      <w:proofErr w:type="spellStart"/>
      <w:r>
        <w:rPr>
          <w:color w:val="000000"/>
        </w:rPr>
        <w:t>недеаэрированной</w:t>
      </w:r>
      <w:proofErr w:type="spellEnd"/>
      <w:r>
        <w:rPr>
          <w:color w:val="000000"/>
        </w:rPr>
        <w:t xml:space="preserve"> водой, о чем после прекращения подпитки следует составить акт, в котором указывается количество сырой воды (м</w:t>
      </w:r>
      <w:r>
        <w:rPr>
          <w:color w:val="000000"/>
          <w:vertAlign w:val="superscript"/>
        </w:rPr>
        <w:t>3</w:t>
      </w:r>
      <w:r>
        <w:rPr>
          <w:color w:val="000000"/>
        </w:rPr>
        <w:t>), использованной подпитки, и причина перевода подпитки на сырую воду.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>Для ускорения обнаружения и локализации повреждения транспорт технической помощи должен быть направлен в район немедленно после получения сведений о повреждении.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Независимо от масштаба повреждения и величины утечки, в течение всего периода определения места повреждения необходимо поддерживать нормальный эксплуатационный или разработанный аварийный режим тепловой сети, т.е. давление в сети, заданное диспетчером, и температуру воды. Для этого должны использоваться все </w:t>
      </w:r>
      <w:proofErr w:type="spellStart"/>
      <w:r>
        <w:rPr>
          <w:color w:val="000000"/>
        </w:rPr>
        <w:t>подпиточные</w:t>
      </w:r>
      <w:proofErr w:type="spellEnd"/>
      <w:r>
        <w:rPr>
          <w:color w:val="000000"/>
        </w:rPr>
        <w:t xml:space="preserve"> средства, в том числе подпитка </w:t>
      </w:r>
      <w:proofErr w:type="spellStart"/>
      <w:r>
        <w:rPr>
          <w:color w:val="000000"/>
        </w:rPr>
        <w:t>недеаэрированной</w:t>
      </w:r>
      <w:proofErr w:type="spellEnd"/>
      <w:r>
        <w:rPr>
          <w:color w:val="000000"/>
        </w:rPr>
        <w:t xml:space="preserve"> водой.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264" w:lineRule="exact"/>
        <w:ind w:firstLine="740"/>
        <w:jc w:val="both"/>
      </w:pPr>
      <w:r>
        <w:rPr>
          <w:color w:val="000000"/>
        </w:rPr>
        <w:t>При возникновении повреждения на каком-либо участке магистрали следует использовать соединительные перемычки между смежными магистралями для переключения нагрузки на неповрежденную магистраль по заранее разработанным схемам.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264" w:lineRule="exact"/>
        <w:ind w:firstLine="740"/>
        <w:jc w:val="both"/>
      </w:pPr>
      <w:r>
        <w:rPr>
          <w:color w:val="000000"/>
        </w:rPr>
        <w:t>При повреждении магистрали в районе, снабжаемом тепловой энергией от двух источников тепловой энергии, следует использовать перемычки между магистралями смежных районов для обеспечения полного или частичного теплоснабжения потребителей, подключенных к поврежденной магистрали.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>При недостатке тепловой мощности индивидуального теплового пункта следует дать указание потребителям о временном отключении систем горячего водоснабжения, при их наличии, на промышленных предприятиях и в общественных зданиях. Список таких объектов, которые могут быть отключены, заранее составлен и согласован с потребителем.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85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При вынужденном длительном отключении отопительных систем при низкой температуре наружного воздуха для предотвращения их замерзания необходимо обеспечить своевременное полное освобождение их от воды (полное </w:t>
      </w:r>
      <w:proofErr w:type="spellStart"/>
      <w:r>
        <w:rPr>
          <w:color w:val="000000"/>
        </w:rPr>
        <w:t>опоржнение</w:t>
      </w:r>
      <w:proofErr w:type="spellEnd"/>
      <w:r>
        <w:rPr>
          <w:color w:val="000000"/>
        </w:rPr>
        <w:t>).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264" w:lineRule="exact"/>
        <w:ind w:firstLine="740"/>
        <w:jc w:val="both"/>
      </w:pPr>
      <w:r>
        <w:rPr>
          <w:color w:val="000000"/>
        </w:rPr>
        <w:t>При отключении в зимнее время участков тепловой сети необходимо обеспечить полное их опорожнение, обращая особое внимание на спуск воды из дренажных устройств, наиболее подверженных замерзанию.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64" w:lineRule="exact"/>
        <w:ind w:firstLine="740"/>
        <w:jc w:val="both"/>
      </w:pPr>
      <w:r>
        <w:rPr>
          <w:color w:val="000000"/>
        </w:rPr>
        <w:t>О возникновении технологического нарушения дежурный диспетчер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», не задерживая работ по ликвидации технологического нарушения, обязан сообщить начальнику ОДС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и заместителю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 Дежурный диспетчер должен сообщить о технологическом нарушении диспетчеру Администрации и другим лицам по списку, утвержденному генеральным директором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64" w:lineRule="exact"/>
        <w:ind w:firstLine="740"/>
        <w:jc w:val="both"/>
      </w:pPr>
      <w:r>
        <w:rPr>
          <w:color w:val="000000"/>
        </w:rPr>
        <w:t>При получении сигнала (сообщения) о технологическом нарушении (повреждении) дежурный диспетчер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обязан: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264" w:lineRule="exact"/>
        <w:ind w:firstLine="740"/>
        <w:jc w:val="both"/>
      </w:pPr>
      <w:r>
        <w:rPr>
          <w:color w:val="000000"/>
        </w:rPr>
        <w:t>Уточнить у сообщившего лица координаты места повреждения (подробный адрес, ориентиры и т. д.), выяснить, по возможности, какой элемент тепловой сети поврежден, характер повреждения.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Немедленно направить к месту повреждения бригаду </w:t>
      </w:r>
      <w:proofErr w:type="spellStart"/>
      <w:r>
        <w:rPr>
          <w:color w:val="000000"/>
        </w:rPr>
        <w:t>СТО'иРТС</w:t>
      </w:r>
      <w:proofErr w:type="spellEnd"/>
      <w:r>
        <w:rPr>
          <w:color w:val="000000"/>
        </w:rPr>
        <w:t>, сообщив начальнику по техническому обслуживанию и ремонту тепловых сетей все имеющиеся</w:t>
      </w:r>
    </w:p>
    <w:p w:rsidR="00383D06" w:rsidRDefault="00383D06" w:rsidP="00383D06">
      <w:pPr>
        <w:pStyle w:val="a4"/>
        <w:framePr w:wrap="none" w:vAnchor="page" w:hAnchor="page" w:x="6129" w:y="15627"/>
        <w:shd w:val="clear" w:color="auto" w:fill="auto"/>
        <w:spacing w:line="220" w:lineRule="exact"/>
      </w:pPr>
    </w:p>
    <w:p w:rsidR="00383D06" w:rsidRDefault="00383D06" w:rsidP="00383D06">
      <w:pPr>
        <w:widowControl/>
        <w:rPr>
          <w:sz w:val="2"/>
          <w:szCs w:val="2"/>
        </w:rPr>
        <w:sectPr w:rsidR="00383D06">
          <w:pgSz w:w="11900" w:h="16840"/>
          <w:pgMar w:top="360" w:right="360" w:bottom="360" w:left="360" w:header="0" w:footer="3" w:gutter="0"/>
          <w:cols w:space="720"/>
        </w:sectPr>
      </w:pPr>
    </w:p>
    <w:p w:rsidR="00383D06" w:rsidRDefault="00383D06" w:rsidP="00383D06">
      <w:pPr>
        <w:pStyle w:val="20"/>
        <w:framePr w:w="9226" w:h="14175" w:hRule="exact" w:wrap="none" w:vAnchor="page" w:hAnchor="page" w:x="1906" w:y="1306"/>
        <w:shd w:val="clear" w:color="auto" w:fill="auto"/>
        <w:tabs>
          <w:tab w:val="left" w:pos="1254"/>
        </w:tabs>
        <w:spacing w:before="0" w:line="264" w:lineRule="exact"/>
        <w:jc w:val="both"/>
      </w:pPr>
      <w:r>
        <w:rPr>
          <w:color w:val="000000"/>
        </w:rPr>
        <w:lastRenderedPageBreak/>
        <w:t>сведения о характере повреждения, ориентировочном наборе материалов, перечне машин и механизмов, необходимых для ликвидации повреждения.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264" w:lineRule="exact"/>
        <w:ind w:firstLine="760"/>
        <w:jc w:val="both"/>
      </w:pPr>
      <w:r>
        <w:rPr>
          <w:color w:val="000000"/>
        </w:rPr>
        <w:t>Немедленно принять меры к ограждению места повреждения, установлению предупредительных плакатов, а при ограниченной видимости - красных фонарей для предотвращения несчастных случаев с пешеходами и автотранспортом (ограждения, фонари, плакаты должны постоянно находиться в аварийной машине).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Выставить дежурных на поврежденных участках </w:t>
      </w:r>
      <w:proofErr w:type="spellStart"/>
      <w:r>
        <w:rPr>
          <w:color w:val="000000"/>
        </w:rPr>
        <w:t>бесканальной</w:t>
      </w:r>
      <w:proofErr w:type="spellEnd"/>
      <w:r>
        <w:rPr>
          <w:color w:val="000000"/>
        </w:rPr>
        <w:t xml:space="preserve"> прокладки, особенно с песчаными грунтами, где возможны размывы на значительной площади.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264" w:lineRule="exact"/>
        <w:ind w:firstLine="760"/>
        <w:jc w:val="both"/>
      </w:pPr>
      <w:r>
        <w:rPr>
          <w:color w:val="000000"/>
        </w:rPr>
        <w:t>Получив точную информацию о характере и месте повреждения, принять срочные меры по отключению поврежденного участка тепловой сети.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258"/>
        </w:tabs>
        <w:spacing w:before="0" w:line="264" w:lineRule="exact"/>
        <w:ind w:firstLine="760"/>
        <w:jc w:val="both"/>
      </w:pPr>
      <w:r>
        <w:rPr>
          <w:color w:val="000000"/>
        </w:rPr>
        <w:t>Принять меры по ликвидации повреждения и по предотвращению развития аварийной ситуации (по локализации повреждения) и усугубления ее последствий и восстановлению нормального режима работы тепловой сети.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322"/>
        </w:tabs>
        <w:spacing w:before="0" w:line="264" w:lineRule="exact"/>
        <w:ind w:firstLine="760"/>
        <w:jc w:val="both"/>
      </w:pPr>
      <w:r>
        <w:rPr>
          <w:color w:val="000000"/>
        </w:rPr>
        <w:t>Вести записи обо всех действиях в оперативном журнале.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Бригада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по прибытии на место повреждения поступает в распоряжение лица, ответственного за ликвидацию технологического нарушения.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Лицо, ответственное за ликвидацию технологического нарушения, отдает распоряжение членам бригады только через начальника службы по техническому обслуживанию и ремонту тепловых сетей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Начальник участка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обязан предупредить* а при необходимости вызвать ответственных представителей других организаций, имеющих подземные коммуникации в месте повреждения, и согласовать с ними, а также с местными Администрациями разрытие траншей и котлованов, необходимое для ликвидации повреждения.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Если работа по ликвидации повреждения по своему объему не может быть выполнена силами бригады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, начальник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должен доложить об этом ответственному за ликвидацию технологического нарушения лицу или диспетчеру, которое в этом случае обязано принять меры по привлечению дополнительной рабочей силы и механизмов.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Ответственный за ликвидацию технологического нарушения обязан через функциональные отделы и службы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 обеспечить бригаду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необходимыми материалами, машинами, механизмами, а также соответствующей технической документацией.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Работы по ликвидации технологического нарушения должны вестись круглосуточно. Приемка и сдача смены во время ликвидации технологического нарушения запрещается. Пришедший на смену оперативный персонал используется по усмотрению лица, руководящего ликвидацией технологического нарушения. При затянувшейся ликвидации технологического нарушения, в зависимости от его характера, допускается сдача смены ' по разрешению заместителя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Все переключения в аварийных условиях производится оперативным (оперативно-</w:t>
      </w:r>
      <w:proofErr w:type="spellStart"/>
      <w:r>
        <w:rPr>
          <w:color w:val="000000"/>
        </w:rPr>
        <w:t>ремонтым</w:t>
      </w:r>
      <w:proofErr w:type="spellEnd"/>
      <w:r>
        <w:rPr>
          <w:color w:val="000000"/>
        </w:rPr>
        <w:t>) персоналом в соответствии с требованиями правил техники безопасности и инструкции по производству оперативных переключений, при обязательном применении всех защитных средств.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Для предотвращения и ликвидации технологических нарушений на центральных тепловых пунктах (ДТП), </w:t>
      </w:r>
      <w:proofErr w:type="spellStart"/>
      <w:r>
        <w:rPr>
          <w:color w:val="000000"/>
        </w:rPr>
        <w:t>эксплуатирующихся</w:t>
      </w:r>
      <w:proofErr w:type="spellEnd"/>
      <w:r>
        <w:rPr>
          <w:color w:val="000000"/>
        </w:rPr>
        <w:t xml:space="preserve"> без постоянного дежурного персонала, используются устройства автоматики и телемеханики.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Включение отремонтированного после повреждения участка тепловой сети производится после приемки работ службой технического контроля (СТК) или заместителем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». Включение осуществляет персонал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под руководством диспетчера ОД С.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88" w:lineRule="exact"/>
        <w:ind w:firstLine="760"/>
        <w:jc w:val="both"/>
      </w:pPr>
      <w:r>
        <w:rPr>
          <w:color w:val="000000"/>
        </w:rPr>
        <w:t>Установленная в тепловой сети арматура должна быть однотипной по длине и фланцам.</w:t>
      </w:r>
    </w:p>
    <w:p w:rsidR="00383D06" w:rsidRDefault="00383D06" w:rsidP="00383D06">
      <w:pPr>
        <w:widowControl/>
        <w:rPr>
          <w:sz w:val="2"/>
          <w:szCs w:val="2"/>
        </w:rPr>
        <w:sectPr w:rsidR="00383D06">
          <w:pgSz w:w="11900" w:h="16840"/>
          <w:pgMar w:top="360" w:right="360" w:bottom="360" w:left="360" w:header="0" w:footer="3" w:gutter="0"/>
          <w:cols w:space="720"/>
        </w:sectPr>
      </w:pP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64" w:lineRule="exact"/>
        <w:ind w:firstLine="720"/>
        <w:jc w:val="both"/>
      </w:pPr>
      <w:r>
        <w:rPr>
          <w:color w:val="000000"/>
        </w:rPr>
        <w:lastRenderedPageBreak/>
        <w:t>Запас материалов расходуется по мере необходимости для проведения текущих ремонтов и технического обслуживания. Израсходованные материалы должны быть восполнены в течение 24 часов.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264" w:lineRule="exact"/>
        <w:ind w:firstLine="720"/>
        <w:jc w:val="both"/>
      </w:pPr>
      <w:r>
        <w:rPr>
          <w:color w:val="000000"/>
        </w:rPr>
        <w:t xml:space="preserve">Объем запаса арматуры и материалов устанавливается начальником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64" w:lineRule="exact"/>
        <w:ind w:firstLine="720"/>
        <w:jc w:val="both"/>
      </w:pPr>
      <w:r>
        <w:rPr>
          <w:color w:val="000000"/>
        </w:rPr>
        <w:t>Диспетчер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должен отдать команду на отключение всей магистрали при технологических нарушениях, угрожающих нарушением теплоснабжения в результате: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3"/>
        </w:numPr>
        <w:shd w:val="clear" w:color="auto" w:fill="auto"/>
        <w:tabs>
          <w:tab w:val="left" w:pos="1036"/>
        </w:tabs>
        <w:spacing w:before="0" w:line="264" w:lineRule="exact"/>
        <w:ind w:firstLine="720"/>
        <w:jc w:val="both"/>
      </w:pPr>
      <w:r>
        <w:rPr>
          <w:color w:val="000000"/>
        </w:rPr>
        <w:t>резкого изменения гидравлического режима источника тепловой энергии (понижение давления в подающем и обратном трубопроводе),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3"/>
        </w:numPr>
        <w:shd w:val="clear" w:color="auto" w:fill="auto"/>
        <w:tabs>
          <w:tab w:val="left" w:pos="1036"/>
        </w:tabs>
        <w:spacing w:before="0" w:line="264" w:lineRule="exact"/>
        <w:ind w:firstLine="720"/>
        <w:jc w:val="both"/>
      </w:pPr>
      <w:r>
        <w:rPr>
          <w:color w:val="000000"/>
        </w:rPr>
        <w:t xml:space="preserve">увеличения подпитки до значения, превышающего производительность </w:t>
      </w:r>
      <w:proofErr w:type="spellStart"/>
      <w:r>
        <w:rPr>
          <w:color w:val="000000"/>
        </w:rPr>
        <w:t>подпиточных</w:t>
      </w:r>
      <w:proofErr w:type="spellEnd"/>
      <w:r>
        <w:rPr>
          <w:color w:val="000000"/>
        </w:rPr>
        <w:t xml:space="preserve"> устройств (значительное повышение расхода сетевой воды в поврежденной </w:t>
      </w:r>
      <w:proofErr w:type="spellStart"/>
      <w:r>
        <w:rPr>
          <w:color w:val="000000"/>
        </w:rPr>
        <w:t>тепл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омагистрали</w:t>
      </w:r>
      <w:proofErr w:type="spellEnd"/>
      <w:r>
        <w:rPr>
          <w:color w:val="000000"/>
        </w:rPr>
        <w:t>).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64" w:lineRule="exact"/>
        <w:ind w:firstLine="720"/>
        <w:jc w:val="both"/>
      </w:pPr>
      <w:r>
        <w:rPr>
          <w:color w:val="000000"/>
        </w:rPr>
        <w:t xml:space="preserve">После ликвидации технологического нарушения для расследования должны быть подготовлены необходимые технологические схемы, записи регистрирующих приборов, выписки из оперативных документов, объяснения персонала, записи телефонных разговоров. Материалы, необходимые для расследования, готовит начальник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совместно с начальником отдела по технике безопасности и заместителем генерального директора по тепловым </w:t>
      </w:r>
      <w:proofErr w:type="spellStart"/>
      <w:r>
        <w:rPr>
          <w:color w:val="000000"/>
        </w:rPr>
        <w:t>энергоусановкам</w:t>
      </w:r>
      <w:proofErr w:type="spellEnd"/>
      <w:r>
        <w:rPr>
          <w:color w:val="000000"/>
        </w:rPr>
        <w:t xml:space="preserve">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rPr>
          <w:sz w:val="2"/>
          <w:szCs w:val="2"/>
        </w:rPr>
      </w:pPr>
    </w:p>
    <w:p w:rsidR="00383D06" w:rsidRDefault="00383D06"/>
    <w:sectPr w:rsidR="0038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138E"/>
    <w:multiLevelType w:val="multilevel"/>
    <w:tmpl w:val="A7E21E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B6244D2"/>
    <w:multiLevelType w:val="multilevel"/>
    <w:tmpl w:val="F70E69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7874BA3"/>
    <w:multiLevelType w:val="multilevel"/>
    <w:tmpl w:val="ED80C9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06"/>
    <w:rsid w:val="00150C85"/>
    <w:rsid w:val="001F203B"/>
    <w:rsid w:val="00383D06"/>
    <w:rsid w:val="0042141A"/>
    <w:rsid w:val="005A0DDC"/>
    <w:rsid w:val="00B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AB00"/>
  <w15:chartTrackingRefBased/>
  <w15:docId w15:val="{FD8867FD-9654-420C-9947-8E6AB77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0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83D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D06"/>
    <w:pPr>
      <w:shd w:val="clear" w:color="auto" w:fill="FFFFFF"/>
      <w:spacing w:before="16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link w:val="a4"/>
    <w:locked/>
    <w:rsid w:val="00383D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383D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383D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3D06"/>
    <w:pPr>
      <w:shd w:val="clear" w:color="auto" w:fill="FFFFFF"/>
      <w:spacing w:after="300" w:line="0" w:lineRule="atLeast"/>
      <w:ind w:hanging="15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MSReferenceSansSerif">
    <w:name w:val="Основной текст (2) + MS Reference Sans Serif"/>
    <w:aliases w:val="9 pt,Курсив,Интервал 0 pt"/>
    <w:basedOn w:val="2"/>
    <w:rsid w:val="00383D06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50C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C8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2019-10-10T12:31:00Z</cp:lastPrinted>
  <dcterms:created xsi:type="dcterms:W3CDTF">2019-10-10T12:25:00Z</dcterms:created>
  <dcterms:modified xsi:type="dcterms:W3CDTF">2022-08-23T10:03:00Z</dcterms:modified>
</cp:coreProperties>
</file>